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
        <w:rPr>
          <w:rFonts w:hint="eastAsia"/>
          <w:sz w:val="26"/>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8"/>
        <w:jc w:val="center"/>
        <w:rPr>
          <w:rFonts w:asciiTheme="majorEastAsia" w:hAnsiTheme="majorEastAsia" w:eastAsiaTheme="majorEastAsia" w:cstheme="majorEastAsia"/>
          <w:sz w:val="52"/>
          <w:szCs w:val="52"/>
        </w:rPr>
      </w:pPr>
      <w:r>
        <w:rPr>
          <w:rFonts w:hint="eastAsia" w:asciiTheme="majorEastAsia" w:hAnsiTheme="majorEastAsia" w:eastAsiaTheme="majorEastAsia" w:cstheme="majorEastAsia"/>
          <w:b/>
          <w:bCs/>
          <w:sz w:val="52"/>
          <w:szCs w:val="52"/>
          <w:lang w:val="en-US"/>
        </w:rPr>
        <w:t>2019年</w:t>
      </w:r>
    </w:p>
    <w:p>
      <w:pPr>
        <w:pStyle w:val="2"/>
        <w:spacing w:before="8"/>
        <w:jc w:val="center"/>
        <w:rPr>
          <w:rFonts w:asciiTheme="majorEastAsia" w:hAnsiTheme="majorEastAsia" w:eastAsiaTheme="majorEastAsia" w:cstheme="majorEastAsia"/>
          <w:b/>
          <w:bCs/>
          <w:sz w:val="52"/>
          <w:szCs w:val="52"/>
          <w:lang w:val="en-US"/>
        </w:rPr>
      </w:pPr>
      <w:r>
        <w:rPr>
          <w:rFonts w:hint="eastAsia" w:asciiTheme="majorEastAsia" w:hAnsiTheme="majorEastAsia" w:eastAsiaTheme="majorEastAsia" w:cstheme="majorEastAsia"/>
          <w:b/>
          <w:bCs/>
          <w:sz w:val="52"/>
          <w:szCs w:val="52"/>
          <w:lang w:val="en-US"/>
        </w:rPr>
        <w:t>广东省医学实验动物中心部门预算</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8"/>
        <w:jc w:val="center"/>
        <w:rPr>
          <w:rFonts w:hint="eastAsia" w:asciiTheme="minorEastAsia" w:hAnsiTheme="minorEastAsia" w:eastAsiaTheme="minorEastAsia" w:cstheme="minorEastAsia"/>
          <w:b/>
          <w:bCs/>
          <w:sz w:val="44"/>
          <w:szCs w:val="44"/>
          <w:lang w:val="en-US"/>
        </w:rPr>
        <w:sectPr>
          <w:footerReference r:id="rId3" w:type="default"/>
          <w:pgSz w:w="11900" w:h="16840"/>
          <w:pgMar w:top="1600" w:right="1040" w:bottom="280" w:left="760" w:header="720" w:footer="720" w:gutter="0"/>
          <w:pgNumType w:fmt="numberInDash" w:start="2"/>
          <w:cols w:space="720" w:num="1"/>
        </w:sectPr>
      </w:pPr>
    </w:p>
    <w:p>
      <w:pPr>
        <w:pStyle w:val="2"/>
        <w:spacing w:before="8"/>
        <w:jc w:val="center"/>
        <w:rPr>
          <w:rFonts w:asciiTheme="minorEastAsia" w:hAnsiTheme="minorEastAsia" w:eastAsiaTheme="minorEastAsia" w:cstheme="minorEastAsia"/>
          <w:b/>
          <w:bCs/>
          <w:sz w:val="44"/>
          <w:szCs w:val="44"/>
          <w:lang w:val="en-US"/>
        </w:rPr>
      </w:pPr>
      <w:r>
        <w:rPr>
          <w:rFonts w:hint="eastAsia" w:asciiTheme="minorEastAsia" w:hAnsiTheme="minorEastAsia" w:eastAsiaTheme="minorEastAsia" w:cstheme="minorEastAsia"/>
          <w:b/>
          <w:bCs/>
          <w:sz w:val="44"/>
          <w:szCs w:val="44"/>
          <w:lang w:val="en-US"/>
        </w:rPr>
        <w:t>目录</w:t>
      </w:r>
    </w:p>
    <w:p>
      <w:pPr>
        <w:pStyle w:val="2"/>
        <w:spacing w:before="2" w:line="360" w:lineRule="auto"/>
        <w:ind w:firstLine="520" w:firstLineChars="200"/>
        <w:rPr>
          <w:sz w:val="26"/>
        </w:rPr>
      </w:pPr>
    </w:p>
    <w:p>
      <w:pPr>
        <w:spacing w:line="360" w:lineRule="auto"/>
        <w:ind w:firstLine="723" w:firstLineChars="200"/>
        <w:rPr>
          <w:rFonts w:ascii="黑体" w:hAnsi="黑体" w:eastAsia="黑体"/>
          <w:b/>
          <w:bCs/>
          <w:sz w:val="36"/>
          <w:szCs w:val="36"/>
        </w:rPr>
      </w:pPr>
      <w:r>
        <w:rPr>
          <w:rFonts w:hint="eastAsia" w:ascii="黑体" w:hAnsi="黑体" w:eastAsia="黑体"/>
          <w:b/>
          <w:bCs/>
          <w:sz w:val="36"/>
          <w:szCs w:val="36"/>
        </w:rPr>
        <w:t>第一部分</w:t>
      </w:r>
      <w:r>
        <w:rPr>
          <w:rFonts w:hint="eastAsia" w:ascii="黑体" w:hAnsi="黑体" w:eastAsia="黑体"/>
          <w:b/>
          <w:bCs/>
          <w:sz w:val="36"/>
          <w:szCs w:val="36"/>
          <w:lang w:val="en-US"/>
        </w:rPr>
        <w:t xml:space="preserve"> 广东省医学实验动物中心</w:t>
      </w:r>
      <w:r>
        <w:rPr>
          <w:rFonts w:hint="eastAsia" w:ascii="黑体" w:hAnsi="黑体" w:eastAsia="黑体"/>
          <w:b/>
          <w:bCs/>
          <w:sz w:val="36"/>
          <w:szCs w:val="36"/>
        </w:rPr>
        <w:t>概况</w:t>
      </w:r>
    </w:p>
    <w:p>
      <w:pPr>
        <w:spacing w:line="360" w:lineRule="auto"/>
        <w:ind w:firstLine="720" w:firstLineChars="200"/>
        <w:rPr>
          <w:rFonts w:ascii="黑体" w:hAnsi="黑体" w:eastAsia="黑体"/>
          <w:sz w:val="36"/>
          <w:szCs w:val="36"/>
        </w:rPr>
      </w:pPr>
      <w:r>
        <w:rPr>
          <w:rFonts w:hint="eastAsia" w:ascii="黑体" w:hAnsi="黑体" w:eastAsia="黑体"/>
          <w:sz w:val="36"/>
          <w:szCs w:val="36"/>
        </w:rPr>
        <w:t>一、主要职责</w:t>
      </w:r>
    </w:p>
    <w:p>
      <w:pPr>
        <w:spacing w:line="360" w:lineRule="auto"/>
        <w:ind w:firstLine="720" w:firstLineChars="200"/>
        <w:rPr>
          <w:rFonts w:ascii="黑体" w:hAnsi="黑体" w:eastAsia="黑体"/>
          <w:sz w:val="36"/>
          <w:szCs w:val="36"/>
        </w:rPr>
      </w:pPr>
      <w:r>
        <w:rPr>
          <w:rFonts w:hint="eastAsia" w:ascii="黑体" w:hAnsi="黑体" w:eastAsia="黑体"/>
          <w:sz w:val="36"/>
          <w:szCs w:val="36"/>
        </w:rPr>
        <w:t>二、部门预算构成</w:t>
      </w:r>
    </w:p>
    <w:p>
      <w:pPr>
        <w:spacing w:line="360" w:lineRule="auto"/>
        <w:ind w:firstLine="723" w:firstLineChars="200"/>
        <w:rPr>
          <w:rFonts w:hint="default" w:ascii="黑体" w:hAnsi="黑体" w:eastAsia="黑体"/>
          <w:b/>
          <w:bCs/>
          <w:sz w:val="36"/>
          <w:szCs w:val="36"/>
          <w:lang w:val="en-US" w:eastAsia="zh-CN"/>
        </w:rPr>
      </w:pPr>
      <w:r>
        <w:rPr>
          <w:rFonts w:hint="eastAsia" w:ascii="黑体" w:hAnsi="黑体" w:eastAsia="黑体"/>
          <w:b/>
          <w:bCs/>
          <w:sz w:val="36"/>
          <w:szCs w:val="36"/>
        </w:rPr>
        <w:t>第二部分</w:t>
      </w:r>
      <w:r>
        <w:rPr>
          <w:rFonts w:hint="eastAsia" w:ascii="黑体" w:hAnsi="黑体" w:eastAsia="黑体"/>
          <w:b/>
          <w:bCs/>
          <w:sz w:val="36"/>
          <w:szCs w:val="36"/>
          <w:lang w:val="en-US"/>
        </w:rPr>
        <w:t xml:space="preserve"> 2019</w:t>
      </w:r>
      <w:r>
        <w:rPr>
          <w:rFonts w:hint="eastAsia" w:ascii="黑体" w:hAnsi="黑体" w:eastAsia="黑体"/>
          <w:b/>
          <w:bCs/>
          <w:sz w:val="36"/>
          <w:szCs w:val="36"/>
        </w:rPr>
        <w:t>年部门预算表</w:t>
      </w:r>
      <w:r>
        <w:rPr>
          <w:rFonts w:hint="eastAsia" w:ascii="黑体" w:hAnsi="黑体" w:eastAsia="黑体"/>
          <w:b/>
          <w:bCs/>
          <w:sz w:val="36"/>
          <w:szCs w:val="36"/>
          <w:lang w:eastAsia="zh-CN"/>
        </w:rPr>
        <w:t>（详见附表</w:t>
      </w:r>
      <w:r>
        <w:rPr>
          <w:rFonts w:hint="eastAsia" w:ascii="黑体" w:hAnsi="黑体" w:eastAsia="黑体"/>
          <w:b/>
          <w:bCs/>
          <w:sz w:val="36"/>
          <w:szCs w:val="36"/>
          <w:lang w:val="en-US" w:eastAsia="zh-CN"/>
        </w:rPr>
        <w:t>1-8）</w:t>
      </w:r>
    </w:p>
    <w:p>
      <w:pPr>
        <w:spacing w:line="360" w:lineRule="auto"/>
        <w:ind w:firstLine="720" w:firstLineChars="200"/>
        <w:rPr>
          <w:rFonts w:hint="eastAsia" w:ascii="黑体" w:hAnsi="黑体" w:eastAsia="黑体"/>
          <w:sz w:val="36"/>
          <w:szCs w:val="36"/>
          <w:lang w:val="en-US" w:eastAsia="zh-CN"/>
        </w:rPr>
      </w:pPr>
      <w:r>
        <w:rPr>
          <w:rFonts w:hint="eastAsia" w:ascii="黑体" w:hAnsi="黑体" w:eastAsia="黑体"/>
          <w:sz w:val="36"/>
          <w:szCs w:val="36"/>
        </w:rPr>
        <w:t>一、收支总体情况表</w:t>
      </w:r>
    </w:p>
    <w:p>
      <w:pPr>
        <w:spacing w:line="360" w:lineRule="auto"/>
        <w:ind w:firstLine="720" w:firstLineChars="200"/>
        <w:rPr>
          <w:rFonts w:ascii="黑体" w:hAnsi="黑体" w:eastAsia="黑体"/>
          <w:sz w:val="36"/>
          <w:szCs w:val="36"/>
        </w:rPr>
      </w:pPr>
      <w:r>
        <w:rPr>
          <w:rFonts w:hint="eastAsia" w:ascii="黑体" w:hAnsi="黑体" w:eastAsia="黑体"/>
          <w:sz w:val="36"/>
          <w:szCs w:val="36"/>
        </w:rPr>
        <w:t>二、收入总体情况表</w:t>
      </w:r>
    </w:p>
    <w:p>
      <w:pPr>
        <w:spacing w:line="360" w:lineRule="auto"/>
        <w:ind w:firstLine="720" w:firstLineChars="200"/>
        <w:rPr>
          <w:rFonts w:ascii="黑体" w:hAnsi="黑体" w:eastAsia="黑体"/>
          <w:sz w:val="36"/>
          <w:szCs w:val="36"/>
        </w:rPr>
      </w:pPr>
      <w:r>
        <w:rPr>
          <w:rFonts w:hint="eastAsia" w:ascii="黑体" w:hAnsi="黑体" w:eastAsia="黑体"/>
          <w:sz w:val="36"/>
          <w:szCs w:val="36"/>
        </w:rPr>
        <w:t>三、支出总体情况表</w:t>
      </w:r>
    </w:p>
    <w:p>
      <w:pPr>
        <w:spacing w:line="360" w:lineRule="auto"/>
        <w:ind w:firstLine="720" w:firstLineChars="200"/>
        <w:rPr>
          <w:rFonts w:ascii="黑体" w:hAnsi="黑体" w:eastAsia="黑体"/>
          <w:sz w:val="36"/>
          <w:szCs w:val="36"/>
        </w:rPr>
      </w:pPr>
      <w:r>
        <w:rPr>
          <w:rFonts w:hint="eastAsia" w:ascii="黑体" w:hAnsi="黑体" w:eastAsia="黑体"/>
          <w:sz w:val="36"/>
          <w:szCs w:val="36"/>
        </w:rPr>
        <w:t>四、财政拨款收支总体情况表</w:t>
      </w:r>
    </w:p>
    <w:p>
      <w:pPr>
        <w:spacing w:line="360" w:lineRule="auto"/>
        <w:ind w:firstLine="720" w:firstLineChars="200"/>
        <w:rPr>
          <w:rFonts w:ascii="黑体" w:hAnsi="黑体" w:eastAsia="黑体"/>
          <w:sz w:val="36"/>
          <w:szCs w:val="36"/>
        </w:rPr>
      </w:pPr>
      <w:r>
        <w:rPr>
          <w:rFonts w:hint="eastAsia" w:ascii="黑体" w:hAnsi="黑体" w:eastAsia="黑体"/>
          <w:sz w:val="36"/>
          <w:szCs w:val="36"/>
        </w:rPr>
        <w:t>五、一般公共预算支出情况表（按功能分类科目）</w:t>
      </w:r>
    </w:p>
    <w:p>
      <w:pPr>
        <w:spacing w:line="360" w:lineRule="auto"/>
        <w:ind w:firstLine="720" w:firstLineChars="200"/>
        <w:rPr>
          <w:rFonts w:ascii="黑体" w:hAnsi="黑体" w:eastAsia="黑体"/>
          <w:sz w:val="36"/>
          <w:szCs w:val="36"/>
        </w:rPr>
      </w:pPr>
      <w:r>
        <w:rPr>
          <w:rFonts w:hint="eastAsia" w:ascii="黑体" w:hAnsi="黑体" w:eastAsia="黑体"/>
          <w:sz w:val="36"/>
          <w:szCs w:val="36"/>
        </w:rPr>
        <w:t>六、一般公共预算基本支出情况表（按经济分类款级科目）</w:t>
      </w:r>
    </w:p>
    <w:p>
      <w:pPr>
        <w:spacing w:line="360" w:lineRule="auto"/>
        <w:ind w:firstLine="720" w:firstLineChars="200"/>
        <w:rPr>
          <w:rFonts w:hint="eastAsia" w:ascii="黑体" w:hAnsi="黑体" w:eastAsia="黑体"/>
          <w:sz w:val="36"/>
          <w:szCs w:val="36"/>
        </w:rPr>
      </w:pPr>
      <w:r>
        <w:rPr>
          <w:rFonts w:hint="eastAsia" w:ascii="黑体" w:hAnsi="黑体" w:eastAsia="黑体"/>
          <w:sz w:val="36"/>
          <w:szCs w:val="36"/>
        </w:rPr>
        <w:t>七、财政拨款安排的行政经费及“三公”经费预算表</w:t>
      </w:r>
    </w:p>
    <w:p>
      <w:pPr>
        <w:spacing w:line="360" w:lineRule="auto"/>
        <w:ind w:firstLine="720" w:firstLineChars="200"/>
        <w:rPr>
          <w:rFonts w:hint="eastAsia" w:ascii="黑体" w:hAnsi="黑体" w:eastAsia="黑体"/>
          <w:sz w:val="36"/>
          <w:szCs w:val="36"/>
        </w:rPr>
      </w:pPr>
      <w:r>
        <w:rPr>
          <w:rFonts w:hint="eastAsia" w:ascii="黑体" w:hAnsi="黑体" w:eastAsia="黑体"/>
          <w:sz w:val="36"/>
          <w:szCs w:val="36"/>
          <w:lang w:eastAsia="zh-CN"/>
        </w:rPr>
        <w:t>八、</w:t>
      </w:r>
      <w:r>
        <w:rPr>
          <w:rFonts w:hint="eastAsia" w:ascii="黑体" w:hAnsi="黑体" w:eastAsia="黑体"/>
          <w:sz w:val="36"/>
          <w:szCs w:val="36"/>
        </w:rPr>
        <w:t>政府性基金预算支出情况表</w:t>
      </w:r>
    </w:p>
    <w:p>
      <w:pPr>
        <w:spacing w:line="360" w:lineRule="auto"/>
        <w:ind w:firstLine="723" w:firstLineChars="200"/>
        <w:rPr>
          <w:rFonts w:ascii="黑体" w:hAnsi="黑体" w:eastAsia="黑体"/>
          <w:b/>
          <w:bCs/>
          <w:sz w:val="36"/>
          <w:szCs w:val="36"/>
        </w:rPr>
      </w:pPr>
      <w:r>
        <w:rPr>
          <w:rFonts w:hint="eastAsia" w:ascii="黑体" w:hAnsi="黑体" w:eastAsia="黑体"/>
          <w:b/>
          <w:bCs/>
          <w:sz w:val="36"/>
          <w:szCs w:val="36"/>
        </w:rPr>
        <w:t>第三部分</w:t>
      </w:r>
      <w:r>
        <w:rPr>
          <w:rFonts w:hint="eastAsia" w:ascii="黑体" w:hAnsi="黑体" w:eastAsia="黑体"/>
          <w:b/>
          <w:bCs/>
          <w:sz w:val="36"/>
          <w:szCs w:val="36"/>
          <w:lang w:val="en-US"/>
        </w:rPr>
        <w:t xml:space="preserve"> 2019</w:t>
      </w:r>
      <w:r>
        <w:rPr>
          <w:rFonts w:hint="eastAsia" w:ascii="黑体" w:hAnsi="黑体" w:eastAsia="黑体"/>
          <w:b/>
          <w:bCs/>
          <w:sz w:val="36"/>
          <w:szCs w:val="36"/>
        </w:rPr>
        <w:t>年部门预算情况说明</w:t>
      </w:r>
    </w:p>
    <w:p>
      <w:pPr>
        <w:spacing w:line="360" w:lineRule="auto"/>
        <w:ind w:firstLine="723" w:firstLineChars="200"/>
        <w:rPr>
          <w:rFonts w:hint="eastAsia" w:ascii="黑体" w:hAnsi="黑体" w:eastAsia="黑体"/>
          <w:b/>
          <w:bCs/>
          <w:sz w:val="36"/>
          <w:szCs w:val="36"/>
        </w:rPr>
      </w:pPr>
      <w:r>
        <w:rPr>
          <w:rFonts w:hint="eastAsia" w:ascii="黑体" w:hAnsi="黑体" w:eastAsia="黑体"/>
          <w:b/>
          <w:bCs/>
          <w:sz w:val="36"/>
          <w:szCs w:val="36"/>
        </w:rPr>
        <w:t>第四部分</w:t>
      </w:r>
      <w:r>
        <w:rPr>
          <w:rFonts w:hint="eastAsia" w:ascii="黑体" w:hAnsi="黑体" w:eastAsia="黑体"/>
          <w:b/>
          <w:bCs/>
          <w:sz w:val="36"/>
          <w:szCs w:val="36"/>
          <w:lang w:val="en-US"/>
        </w:rPr>
        <w:t xml:space="preserve"> </w:t>
      </w:r>
      <w:r>
        <w:rPr>
          <w:rFonts w:hint="eastAsia" w:ascii="黑体" w:hAnsi="黑体" w:eastAsia="黑体"/>
          <w:b/>
          <w:bCs/>
          <w:sz w:val="36"/>
          <w:szCs w:val="36"/>
        </w:rPr>
        <w:t>名词解释</w:t>
      </w:r>
      <w:bookmarkStart w:id="0" w:name="_GoBack"/>
      <w:bookmarkEnd w:id="0"/>
    </w:p>
    <w:p>
      <w:pPr>
        <w:spacing w:line="360" w:lineRule="auto"/>
        <w:ind w:firstLine="723" w:firstLineChars="200"/>
        <w:rPr>
          <w:rFonts w:hint="eastAsia" w:ascii="黑体" w:hAnsi="黑体" w:eastAsia="黑体"/>
          <w:b/>
          <w:bCs/>
          <w:sz w:val="36"/>
          <w:szCs w:val="36"/>
        </w:rPr>
      </w:pPr>
    </w:p>
    <w:p/>
    <w:p>
      <w:pPr>
        <w:sectPr>
          <w:footerReference r:id="rId4" w:type="default"/>
          <w:pgSz w:w="11900" w:h="16840"/>
          <w:pgMar w:top="1600" w:right="1040" w:bottom="280" w:left="760" w:header="720" w:footer="720" w:gutter="0"/>
          <w:pgNumType w:fmt="numberInDash" w:start="1"/>
          <w:cols w:space="720" w:num="1"/>
        </w:sectPr>
      </w:pPr>
    </w:p>
    <w:p>
      <w:pPr>
        <w:spacing w:line="360" w:lineRule="auto"/>
        <w:jc w:val="center"/>
        <w:outlineLvl w:val="0"/>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第一部分</w:t>
      </w:r>
      <w:r>
        <w:rPr>
          <w:rFonts w:hint="eastAsia" w:asciiTheme="minorEastAsia" w:hAnsiTheme="minorEastAsia" w:eastAsiaTheme="minorEastAsia" w:cstheme="minorEastAsia"/>
          <w:b/>
          <w:bCs/>
          <w:sz w:val="44"/>
          <w:szCs w:val="44"/>
          <w:lang w:val="en-US"/>
        </w:rPr>
        <w:t xml:space="preserve"> 广东省医学实验动物中心</w:t>
      </w:r>
      <w:r>
        <w:rPr>
          <w:rFonts w:hint="eastAsia" w:asciiTheme="minorEastAsia" w:hAnsiTheme="minorEastAsia" w:eastAsiaTheme="minorEastAsia" w:cstheme="minorEastAsia"/>
          <w:b/>
          <w:bCs/>
          <w:sz w:val="44"/>
          <w:szCs w:val="44"/>
        </w:rPr>
        <w:t>概况</w:t>
      </w:r>
    </w:p>
    <w:p>
      <w:pPr>
        <w:spacing w:line="360" w:lineRule="auto"/>
        <w:ind w:firstLine="640" w:firstLineChars="200"/>
        <w:outlineLvl w:val="1"/>
        <w:rPr>
          <w:rFonts w:ascii="黑体" w:hAnsi="黑体" w:eastAsia="黑体" w:cs="黑体"/>
          <w:sz w:val="32"/>
          <w:szCs w:val="32"/>
        </w:rPr>
      </w:pPr>
      <w:r>
        <w:rPr>
          <w:rFonts w:hint="eastAsia" w:ascii="黑体" w:hAnsi="黑体" w:eastAsia="黑体" w:cs="黑体"/>
          <w:sz w:val="32"/>
          <w:szCs w:val="32"/>
        </w:rPr>
        <w:t>一、主要职责</w:t>
      </w:r>
    </w:p>
    <w:p>
      <w:pPr>
        <w:spacing w:line="360" w:lineRule="auto"/>
        <w:ind w:firstLine="640" w:firstLineChars="200"/>
        <w:rPr>
          <w:rFonts w:ascii="仿宋" w:hAnsi="仿宋" w:eastAsia="仿宋" w:cs="仿宋"/>
          <w:sz w:val="32"/>
        </w:rPr>
      </w:pPr>
      <w:r>
        <w:rPr>
          <w:rFonts w:hint="eastAsia" w:ascii="仿宋" w:hAnsi="仿宋" w:eastAsia="仿宋" w:cs="仿宋"/>
          <w:sz w:val="32"/>
        </w:rPr>
        <w:t>广东省医学实验动物中心是华南地区最大的实验动物保种、生产、实验和检测的一体化平台，为生物医药科研、教学、产业发展提供高品质、高标准的实验动物、动物模型和动物实验服务。中心宗旨和业务范围是承担实验动物种子资源保存、研究、提供及技术推广，开展实验动物育种、繁育研究，为基础研究领域提供标准化实验动物，培育人类疾病模型动物，开展比较医学研究；开展保健食品、药品、化妆品动物毒理学研究及检测工作；开展实验动物遗传、环境、微生物、营养、饲料领域的研究及检测工作。</w:t>
      </w:r>
    </w:p>
    <w:p>
      <w:pPr>
        <w:spacing w:line="360" w:lineRule="auto"/>
        <w:ind w:firstLine="640" w:firstLineChars="200"/>
        <w:outlineLvl w:val="1"/>
        <w:rPr>
          <w:rFonts w:ascii="黑体" w:hAnsi="黑体" w:eastAsia="黑体" w:cs="黑体"/>
          <w:sz w:val="32"/>
          <w:szCs w:val="32"/>
        </w:rPr>
      </w:pPr>
      <w:r>
        <w:rPr>
          <w:rFonts w:hint="eastAsia" w:ascii="黑体" w:hAnsi="黑体" w:eastAsia="黑体" w:cs="黑体"/>
          <w:sz w:val="32"/>
          <w:szCs w:val="32"/>
        </w:rPr>
        <w:t>二、部门预算构成</w:t>
      </w:r>
    </w:p>
    <w:p>
      <w:pPr>
        <w:spacing w:line="360" w:lineRule="auto"/>
        <w:ind w:firstLine="640" w:firstLineChars="200"/>
        <w:rPr>
          <w:rFonts w:ascii="仿宋" w:hAnsi="仿宋" w:eastAsia="仿宋" w:cs="仿宋"/>
          <w:sz w:val="32"/>
        </w:rPr>
      </w:pPr>
      <w:r>
        <w:rPr>
          <w:rFonts w:hint="eastAsia" w:ascii="仿宋" w:hAnsi="仿宋" w:eastAsia="仿宋" w:cs="仿宋"/>
          <w:sz w:val="32"/>
        </w:rPr>
        <w:t>本</w:t>
      </w:r>
      <w:r>
        <w:rPr>
          <w:rFonts w:hint="eastAsia" w:ascii="仿宋" w:hAnsi="仿宋" w:eastAsia="仿宋" w:cs="仿宋"/>
          <w:sz w:val="32"/>
          <w:lang w:eastAsia="zh-CN"/>
        </w:rPr>
        <w:t>单位</w:t>
      </w:r>
      <w:r>
        <w:rPr>
          <w:rFonts w:hint="eastAsia" w:ascii="仿宋" w:hAnsi="仿宋" w:eastAsia="仿宋" w:cs="仿宋"/>
          <w:sz w:val="32"/>
        </w:rPr>
        <w:t>无下属单位，部门预算为单位本级预算。</w:t>
      </w:r>
    </w:p>
    <w:p/>
    <w:p>
      <w:pPr>
        <w:spacing w:line="360" w:lineRule="auto"/>
        <w:jc w:val="center"/>
        <w:rPr>
          <w:rFonts w:asciiTheme="minorEastAsia" w:hAnsiTheme="minorEastAsia" w:eastAsiaTheme="minorEastAsia" w:cstheme="minorEastAsia"/>
          <w:b/>
          <w:bCs/>
          <w:sz w:val="32"/>
        </w:rPr>
        <w:sectPr>
          <w:pgSz w:w="11900" w:h="16840"/>
          <w:pgMar w:top="1600" w:right="1040" w:bottom="280" w:left="760" w:header="720" w:footer="720" w:gutter="0"/>
          <w:pgNumType w:fmt="numberInDash"/>
          <w:cols w:space="720" w:num="1"/>
        </w:sectPr>
      </w:pPr>
    </w:p>
    <w:p>
      <w:pPr>
        <w:numPr>
          <w:ilvl w:val="0"/>
          <w:numId w:val="1"/>
        </w:numPr>
        <w:spacing w:line="360" w:lineRule="auto"/>
        <w:jc w:val="center"/>
        <w:outlineLvl w:val="0"/>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lang w:val="en-US"/>
        </w:rPr>
        <w:t>2019</w:t>
      </w:r>
      <w:r>
        <w:rPr>
          <w:rFonts w:hint="eastAsia" w:asciiTheme="minorEastAsia" w:hAnsiTheme="minorEastAsia" w:eastAsiaTheme="minorEastAsia" w:cstheme="minorEastAsia"/>
          <w:b/>
          <w:bCs/>
          <w:sz w:val="44"/>
          <w:szCs w:val="44"/>
        </w:rPr>
        <w:t>年部门预算表（详见附表）</w:t>
      </w:r>
    </w:p>
    <w:p>
      <w:pPr>
        <w:spacing w:line="360" w:lineRule="auto"/>
        <w:ind w:firstLine="720" w:firstLineChars="200"/>
        <w:rPr>
          <w:rFonts w:hint="default" w:ascii="黑体" w:hAnsi="黑体" w:eastAsia="黑体"/>
          <w:sz w:val="36"/>
          <w:szCs w:val="36"/>
          <w:lang w:val="en-US" w:eastAsia="zh-CN"/>
        </w:rPr>
      </w:pPr>
      <w:r>
        <w:rPr>
          <w:rFonts w:hint="eastAsia" w:ascii="黑体" w:hAnsi="黑体" w:eastAsia="黑体"/>
          <w:sz w:val="36"/>
          <w:szCs w:val="36"/>
        </w:rPr>
        <w:t>一、收支总体情况表</w:t>
      </w:r>
      <w:r>
        <w:rPr>
          <w:rFonts w:hint="eastAsia" w:ascii="黑体" w:hAnsi="黑体" w:eastAsia="黑体"/>
          <w:sz w:val="36"/>
          <w:szCs w:val="36"/>
          <w:lang w:val="en-US" w:eastAsia="zh-CN"/>
        </w:rPr>
        <w:t>(表1）</w:t>
      </w:r>
    </w:p>
    <w:p>
      <w:pPr>
        <w:spacing w:line="360" w:lineRule="auto"/>
        <w:ind w:firstLine="720" w:firstLineChars="200"/>
        <w:rPr>
          <w:rFonts w:hint="default" w:ascii="黑体" w:hAnsi="黑体" w:eastAsia="黑体"/>
          <w:sz w:val="36"/>
          <w:szCs w:val="36"/>
          <w:lang w:val="en-US" w:eastAsia="zh-CN"/>
        </w:rPr>
      </w:pPr>
      <w:r>
        <w:rPr>
          <w:rFonts w:hint="eastAsia" w:ascii="黑体" w:hAnsi="黑体" w:eastAsia="黑体"/>
          <w:sz w:val="36"/>
          <w:szCs w:val="36"/>
        </w:rPr>
        <w:t>二、收入总体情况表</w:t>
      </w:r>
      <w:r>
        <w:rPr>
          <w:rFonts w:hint="eastAsia" w:ascii="黑体" w:hAnsi="黑体" w:eastAsia="黑体"/>
          <w:sz w:val="36"/>
          <w:szCs w:val="36"/>
          <w:lang w:eastAsia="zh-CN"/>
        </w:rPr>
        <w:t>（表</w:t>
      </w:r>
      <w:r>
        <w:rPr>
          <w:rFonts w:hint="eastAsia" w:ascii="黑体" w:hAnsi="黑体" w:eastAsia="黑体"/>
          <w:sz w:val="36"/>
          <w:szCs w:val="36"/>
          <w:lang w:val="en-US" w:eastAsia="zh-CN"/>
        </w:rPr>
        <w:t>2）</w:t>
      </w:r>
    </w:p>
    <w:p>
      <w:pPr>
        <w:spacing w:line="360" w:lineRule="auto"/>
        <w:ind w:firstLine="720" w:firstLineChars="200"/>
        <w:rPr>
          <w:rFonts w:hint="default" w:ascii="黑体" w:hAnsi="黑体" w:eastAsia="黑体"/>
          <w:sz w:val="36"/>
          <w:szCs w:val="36"/>
          <w:lang w:val="en-US" w:eastAsia="zh-CN"/>
        </w:rPr>
      </w:pPr>
      <w:r>
        <w:rPr>
          <w:rFonts w:hint="eastAsia" w:ascii="黑体" w:hAnsi="黑体" w:eastAsia="黑体"/>
          <w:sz w:val="36"/>
          <w:szCs w:val="36"/>
        </w:rPr>
        <w:t>三、支出总体情况表</w:t>
      </w:r>
      <w:r>
        <w:rPr>
          <w:rFonts w:hint="eastAsia" w:ascii="黑体" w:hAnsi="黑体" w:eastAsia="黑体"/>
          <w:sz w:val="36"/>
          <w:szCs w:val="36"/>
          <w:lang w:eastAsia="zh-CN"/>
        </w:rPr>
        <w:t>（表</w:t>
      </w:r>
      <w:r>
        <w:rPr>
          <w:rFonts w:hint="eastAsia" w:ascii="黑体" w:hAnsi="黑体" w:eastAsia="黑体"/>
          <w:sz w:val="36"/>
          <w:szCs w:val="36"/>
          <w:lang w:val="en-US" w:eastAsia="zh-CN"/>
        </w:rPr>
        <w:t>3）</w:t>
      </w:r>
    </w:p>
    <w:p>
      <w:pPr>
        <w:spacing w:line="360" w:lineRule="auto"/>
        <w:ind w:firstLine="720" w:firstLineChars="200"/>
        <w:rPr>
          <w:rFonts w:hint="default" w:ascii="黑体" w:hAnsi="黑体" w:eastAsia="黑体"/>
          <w:sz w:val="36"/>
          <w:szCs w:val="36"/>
          <w:lang w:val="en-US" w:eastAsia="zh-CN"/>
        </w:rPr>
      </w:pPr>
      <w:r>
        <w:rPr>
          <w:rFonts w:hint="eastAsia" w:ascii="黑体" w:hAnsi="黑体" w:eastAsia="黑体"/>
          <w:sz w:val="36"/>
          <w:szCs w:val="36"/>
        </w:rPr>
        <w:t>四、财政拨款收支总体情况表</w:t>
      </w:r>
      <w:r>
        <w:rPr>
          <w:rFonts w:hint="eastAsia" w:ascii="黑体" w:hAnsi="黑体" w:eastAsia="黑体"/>
          <w:sz w:val="36"/>
          <w:szCs w:val="36"/>
          <w:lang w:eastAsia="zh-CN"/>
        </w:rPr>
        <w:t>（表</w:t>
      </w:r>
      <w:r>
        <w:rPr>
          <w:rFonts w:hint="eastAsia" w:ascii="黑体" w:hAnsi="黑体" w:eastAsia="黑体"/>
          <w:sz w:val="36"/>
          <w:szCs w:val="36"/>
          <w:lang w:val="en-US" w:eastAsia="zh-CN"/>
        </w:rPr>
        <w:t>4）</w:t>
      </w:r>
    </w:p>
    <w:p>
      <w:pPr>
        <w:spacing w:line="360" w:lineRule="auto"/>
        <w:ind w:firstLine="720" w:firstLineChars="200"/>
        <w:rPr>
          <w:rFonts w:hint="default" w:ascii="黑体" w:hAnsi="黑体" w:eastAsia="黑体"/>
          <w:sz w:val="36"/>
          <w:szCs w:val="36"/>
          <w:lang w:val="en-US" w:eastAsia="zh-CN"/>
        </w:rPr>
      </w:pPr>
      <w:r>
        <w:rPr>
          <w:rFonts w:hint="eastAsia" w:ascii="黑体" w:hAnsi="黑体" w:eastAsia="黑体"/>
          <w:sz w:val="36"/>
          <w:szCs w:val="36"/>
        </w:rPr>
        <w:t>五、一般公共预算支出情况表（按功能分类科目）</w:t>
      </w:r>
      <w:r>
        <w:rPr>
          <w:rFonts w:hint="eastAsia" w:ascii="黑体" w:hAnsi="黑体" w:eastAsia="黑体"/>
          <w:sz w:val="36"/>
          <w:szCs w:val="36"/>
          <w:lang w:eastAsia="zh-CN"/>
        </w:rPr>
        <w:t>（表</w:t>
      </w:r>
      <w:r>
        <w:rPr>
          <w:rFonts w:hint="eastAsia" w:ascii="黑体" w:hAnsi="黑体" w:eastAsia="黑体"/>
          <w:sz w:val="36"/>
          <w:szCs w:val="36"/>
          <w:lang w:val="en-US" w:eastAsia="zh-CN"/>
        </w:rPr>
        <w:t>5）</w:t>
      </w:r>
    </w:p>
    <w:p>
      <w:pPr>
        <w:spacing w:line="360" w:lineRule="auto"/>
        <w:ind w:firstLine="720" w:firstLineChars="200"/>
        <w:rPr>
          <w:rFonts w:hint="default" w:ascii="黑体" w:hAnsi="黑体" w:eastAsia="黑体"/>
          <w:sz w:val="36"/>
          <w:szCs w:val="36"/>
          <w:lang w:val="en-US" w:eastAsia="zh-CN"/>
        </w:rPr>
      </w:pPr>
      <w:r>
        <w:rPr>
          <w:rFonts w:hint="eastAsia" w:ascii="黑体" w:hAnsi="黑体" w:eastAsia="黑体"/>
          <w:sz w:val="36"/>
          <w:szCs w:val="36"/>
        </w:rPr>
        <w:t>六、一般公共预算基本支出情况表（按经济分类款级科目）</w:t>
      </w:r>
      <w:r>
        <w:rPr>
          <w:rFonts w:hint="eastAsia" w:ascii="黑体" w:hAnsi="黑体" w:eastAsia="黑体"/>
          <w:sz w:val="36"/>
          <w:szCs w:val="36"/>
          <w:lang w:eastAsia="zh-CN"/>
        </w:rPr>
        <w:t>（表</w:t>
      </w:r>
      <w:r>
        <w:rPr>
          <w:rFonts w:hint="eastAsia" w:ascii="黑体" w:hAnsi="黑体" w:eastAsia="黑体"/>
          <w:sz w:val="36"/>
          <w:szCs w:val="36"/>
          <w:lang w:val="en-US" w:eastAsia="zh-CN"/>
        </w:rPr>
        <w:t>6）</w:t>
      </w:r>
    </w:p>
    <w:p>
      <w:pPr>
        <w:spacing w:line="360" w:lineRule="auto"/>
        <w:ind w:firstLine="720" w:firstLineChars="200"/>
        <w:rPr>
          <w:rFonts w:hint="default" w:ascii="黑体" w:hAnsi="黑体" w:eastAsia="黑体"/>
          <w:sz w:val="36"/>
          <w:szCs w:val="36"/>
          <w:lang w:val="en-US" w:eastAsia="zh-CN"/>
        </w:rPr>
      </w:pPr>
      <w:r>
        <w:rPr>
          <w:rFonts w:hint="eastAsia" w:ascii="黑体" w:hAnsi="黑体" w:eastAsia="黑体"/>
          <w:sz w:val="36"/>
          <w:szCs w:val="36"/>
        </w:rPr>
        <w:t>七、财政拨款安排的行政经费及“三公”经费预算表</w:t>
      </w:r>
      <w:r>
        <w:rPr>
          <w:rFonts w:hint="eastAsia" w:ascii="黑体" w:hAnsi="黑体" w:eastAsia="黑体"/>
          <w:sz w:val="36"/>
          <w:szCs w:val="36"/>
          <w:lang w:eastAsia="zh-CN"/>
        </w:rPr>
        <w:t>（表</w:t>
      </w:r>
      <w:r>
        <w:rPr>
          <w:rFonts w:hint="eastAsia" w:ascii="黑体" w:hAnsi="黑体" w:eastAsia="黑体"/>
          <w:sz w:val="36"/>
          <w:szCs w:val="36"/>
          <w:lang w:val="en-US" w:eastAsia="zh-CN"/>
        </w:rPr>
        <w:t>7）</w:t>
      </w:r>
    </w:p>
    <w:p>
      <w:pPr>
        <w:spacing w:line="360" w:lineRule="auto"/>
        <w:ind w:firstLine="720" w:firstLineChars="200"/>
        <w:rPr>
          <w:rFonts w:hint="default" w:ascii="黑体" w:hAnsi="黑体" w:eastAsia="黑体"/>
          <w:sz w:val="36"/>
          <w:szCs w:val="36"/>
          <w:lang w:val="en-US" w:eastAsia="zh-CN"/>
        </w:rPr>
      </w:pPr>
      <w:r>
        <w:rPr>
          <w:rFonts w:hint="eastAsia" w:ascii="黑体" w:hAnsi="黑体" w:eastAsia="黑体"/>
          <w:sz w:val="36"/>
          <w:szCs w:val="36"/>
          <w:lang w:eastAsia="zh-CN"/>
        </w:rPr>
        <w:t>八、</w:t>
      </w:r>
      <w:r>
        <w:rPr>
          <w:rFonts w:hint="eastAsia" w:ascii="黑体" w:hAnsi="黑体" w:eastAsia="黑体"/>
          <w:sz w:val="36"/>
          <w:szCs w:val="36"/>
        </w:rPr>
        <w:t>政府性基金预算支出情况表</w:t>
      </w:r>
      <w:r>
        <w:rPr>
          <w:rFonts w:hint="eastAsia" w:ascii="黑体" w:hAnsi="黑体" w:eastAsia="黑体"/>
          <w:sz w:val="36"/>
          <w:szCs w:val="36"/>
          <w:lang w:eastAsia="zh-CN"/>
        </w:rPr>
        <w:t>（表</w:t>
      </w:r>
      <w:r>
        <w:rPr>
          <w:rFonts w:hint="eastAsia" w:ascii="黑体" w:hAnsi="黑体" w:eastAsia="黑体"/>
          <w:sz w:val="36"/>
          <w:szCs w:val="36"/>
          <w:lang w:val="en-US" w:eastAsia="zh-CN"/>
        </w:rPr>
        <w:t>8）</w:t>
      </w:r>
    </w:p>
    <w:p>
      <w:pPr>
        <w:spacing w:line="360" w:lineRule="auto"/>
        <w:ind w:firstLine="720" w:firstLineChars="200"/>
        <w:rPr>
          <w:rFonts w:hint="eastAsia" w:ascii="黑体" w:hAnsi="黑体" w:eastAsia="黑体"/>
          <w:sz w:val="36"/>
          <w:szCs w:val="36"/>
        </w:rPr>
      </w:pPr>
    </w:p>
    <w:p>
      <w:pPr>
        <w:spacing w:line="360" w:lineRule="auto"/>
        <w:ind w:firstLine="720" w:firstLineChars="200"/>
        <w:rPr>
          <w:rFonts w:hint="eastAsia" w:ascii="黑体" w:hAnsi="黑体" w:eastAsia="黑体"/>
          <w:sz w:val="36"/>
          <w:szCs w:val="36"/>
        </w:rPr>
        <w:sectPr>
          <w:pgSz w:w="11900" w:h="16840"/>
          <w:pgMar w:top="1600" w:right="1040" w:bottom="280" w:left="760" w:header="720" w:footer="720" w:gutter="0"/>
          <w:pgNumType w:fmt="numberInDash"/>
          <w:cols w:space="720" w:num="1"/>
        </w:sectPr>
      </w:pPr>
    </w:p>
    <w:p>
      <w:pPr>
        <w:spacing w:line="360" w:lineRule="auto"/>
        <w:jc w:val="center"/>
        <w:outlineLvl w:val="0"/>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第三部分 2019年部门预算情况说明</w:t>
      </w:r>
    </w:p>
    <w:p>
      <w:pPr>
        <w:spacing w:line="360" w:lineRule="auto"/>
        <w:ind w:firstLine="640" w:firstLineChars="200"/>
        <w:outlineLvl w:val="1"/>
        <w:rPr>
          <w:rFonts w:ascii="黑体" w:hAnsi="黑体" w:eastAsia="黑体"/>
          <w:sz w:val="32"/>
        </w:rPr>
      </w:pPr>
      <w:r>
        <w:rPr>
          <w:rFonts w:hint="eastAsia" w:ascii="黑体" w:hAnsi="黑体" w:eastAsia="黑体"/>
          <w:sz w:val="32"/>
        </w:rPr>
        <w:t>一、部门预算收支增减变化情况</w:t>
      </w:r>
    </w:p>
    <w:p>
      <w:pPr>
        <w:spacing w:line="360" w:lineRule="auto"/>
        <w:ind w:firstLine="640" w:firstLineChars="200"/>
        <w:rPr>
          <w:rFonts w:ascii="仿宋" w:hAnsi="仿宋" w:eastAsia="仿宋"/>
          <w:sz w:val="32"/>
        </w:rPr>
      </w:pPr>
      <w:r>
        <w:rPr>
          <w:rFonts w:hint="eastAsia" w:ascii="仿宋" w:hAnsi="仿宋" w:eastAsia="仿宋"/>
          <w:sz w:val="32"/>
          <w:lang w:val="en-US"/>
        </w:rPr>
        <w:t>2019</w:t>
      </w:r>
      <w:r>
        <w:rPr>
          <w:rFonts w:hint="eastAsia" w:ascii="仿宋" w:hAnsi="仿宋" w:eastAsia="仿宋"/>
          <w:sz w:val="32"/>
        </w:rPr>
        <w:t>年本</w:t>
      </w:r>
      <w:r>
        <w:rPr>
          <w:rFonts w:hint="eastAsia" w:ascii="仿宋" w:hAnsi="仿宋" w:eastAsia="仿宋"/>
          <w:sz w:val="32"/>
          <w:lang w:eastAsia="zh-CN"/>
        </w:rPr>
        <w:t>单位</w:t>
      </w:r>
      <w:r>
        <w:rPr>
          <w:rFonts w:hint="eastAsia" w:ascii="仿宋" w:hAnsi="仿宋" w:eastAsia="仿宋"/>
          <w:sz w:val="32"/>
        </w:rPr>
        <w:t>收入预算</w:t>
      </w:r>
      <w:r>
        <w:rPr>
          <w:rFonts w:ascii="仿宋" w:hAnsi="仿宋" w:eastAsia="仿宋"/>
          <w:sz w:val="32"/>
        </w:rPr>
        <w:t>4,068.15</w:t>
      </w:r>
      <w:r>
        <w:rPr>
          <w:rFonts w:hint="eastAsia" w:ascii="仿宋" w:hAnsi="仿宋" w:eastAsia="仿宋"/>
          <w:sz w:val="32"/>
        </w:rPr>
        <w:t>万元，比上年增加118.82万元，增长3.01%，主要原因是预计单位业务量持续增长，事业收入随之增长；支出预算</w:t>
      </w:r>
      <w:r>
        <w:rPr>
          <w:rFonts w:ascii="仿宋" w:hAnsi="仿宋" w:eastAsia="仿宋"/>
          <w:sz w:val="32"/>
        </w:rPr>
        <w:t>4,068.15</w:t>
      </w:r>
      <w:r>
        <w:rPr>
          <w:rFonts w:hint="eastAsia" w:ascii="仿宋" w:hAnsi="仿宋" w:eastAsia="仿宋"/>
          <w:sz w:val="32"/>
        </w:rPr>
        <w:t>万元，比上年增加118.82万元，增长3.01%，主要原因是预计事业收入增长，支出随之增长。</w:t>
      </w:r>
    </w:p>
    <w:p>
      <w:pPr>
        <w:spacing w:line="360" w:lineRule="auto"/>
        <w:ind w:firstLine="640" w:firstLineChars="200"/>
        <w:outlineLvl w:val="1"/>
        <w:rPr>
          <w:rFonts w:ascii="黑体" w:hAnsi="黑体" w:eastAsia="黑体"/>
          <w:sz w:val="32"/>
        </w:rPr>
      </w:pPr>
      <w:r>
        <w:rPr>
          <w:rFonts w:hint="eastAsia" w:ascii="黑体" w:hAnsi="黑体" w:eastAsia="黑体"/>
          <w:sz w:val="32"/>
        </w:rPr>
        <w:t>二、“三公”经费安排情况</w:t>
      </w:r>
    </w:p>
    <w:p>
      <w:pPr>
        <w:spacing w:line="360" w:lineRule="auto"/>
        <w:ind w:firstLine="640" w:firstLineChars="200"/>
        <w:rPr>
          <w:rFonts w:ascii="仿宋" w:hAnsi="仿宋" w:eastAsia="仿宋"/>
          <w:sz w:val="32"/>
        </w:rPr>
      </w:pPr>
      <w:r>
        <w:rPr>
          <w:rFonts w:hint="eastAsia" w:ascii="仿宋" w:hAnsi="仿宋" w:eastAsia="仿宋"/>
          <w:sz w:val="32"/>
        </w:rPr>
        <w:t>2019年本</w:t>
      </w:r>
      <w:r>
        <w:rPr>
          <w:rFonts w:hint="eastAsia" w:ascii="仿宋" w:hAnsi="仿宋" w:eastAsia="仿宋"/>
          <w:sz w:val="32"/>
          <w:lang w:eastAsia="zh-CN"/>
        </w:rPr>
        <w:t>单位</w:t>
      </w:r>
      <w:r>
        <w:rPr>
          <w:rFonts w:hint="eastAsia" w:ascii="仿宋" w:hAnsi="仿宋" w:eastAsia="仿宋"/>
          <w:sz w:val="32"/>
        </w:rPr>
        <w:t>财政拨款安排“三公”经费0.00万元，与上年持平，无增减变化。</w:t>
      </w:r>
    </w:p>
    <w:p>
      <w:pPr>
        <w:spacing w:line="360" w:lineRule="auto"/>
        <w:ind w:firstLine="640" w:firstLineChars="200"/>
        <w:outlineLvl w:val="1"/>
        <w:rPr>
          <w:rFonts w:ascii="黑体" w:hAnsi="黑体" w:eastAsia="黑体"/>
          <w:sz w:val="32"/>
        </w:rPr>
      </w:pPr>
      <w:r>
        <w:rPr>
          <w:rFonts w:hint="eastAsia" w:ascii="黑体" w:hAnsi="黑体" w:eastAsia="黑体"/>
          <w:sz w:val="32"/>
        </w:rPr>
        <w:t>三、机关运行经费安排情况</w:t>
      </w:r>
    </w:p>
    <w:p>
      <w:pPr>
        <w:spacing w:line="360" w:lineRule="auto"/>
        <w:ind w:firstLine="640" w:firstLineChars="200"/>
        <w:rPr>
          <w:rFonts w:ascii="仿宋" w:hAnsi="仿宋" w:eastAsia="仿宋"/>
          <w:sz w:val="32"/>
        </w:rPr>
      </w:pPr>
      <w:r>
        <w:rPr>
          <w:rFonts w:hint="eastAsia" w:ascii="仿宋" w:hAnsi="仿宋" w:eastAsia="仿宋"/>
          <w:sz w:val="32"/>
        </w:rPr>
        <w:t>机关运行经费是指用于维持行政（参公）单位机关运行的经费。本</w:t>
      </w:r>
      <w:r>
        <w:rPr>
          <w:rFonts w:hint="eastAsia" w:ascii="仿宋" w:hAnsi="仿宋" w:eastAsia="仿宋"/>
          <w:sz w:val="32"/>
          <w:lang w:eastAsia="zh-CN"/>
        </w:rPr>
        <w:t>单位</w:t>
      </w:r>
      <w:r>
        <w:rPr>
          <w:rFonts w:hint="eastAsia" w:ascii="仿宋" w:hAnsi="仿宋" w:eastAsia="仿宋"/>
          <w:sz w:val="32"/>
        </w:rPr>
        <w:t>为非参照公务员法管理的事业单位，按照上述定义，本</w:t>
      </w:r>
      <w:r>
        <w:rPr>
          <w:rFonts w:hint="eastAsia" w:ascii="仿宋" w:hAnsi="仿宋" w:eastAsia="仿宋"/>
          <w:sz w:val="32"/>
          <w:lang w:eastAsia="zh-CN"/>
        </w:rPr>
        <w:t>单位</w:t>
      </w:r>
      <w:r>
        <w:rPr>
          <w:rFonts w:hint="eastAsia" w:ascii="仿宋" w:hAnsi="仿宋" w:eastAsia="仿宋"/>
          <w:sz w:val="32"/>
        </w:rPr>
        <w:t>无机关运行经费。</w:t>
      </w:r>
    </w:p>
    <w:p>
      <w:pPr>
        <w:spacing w:line="360" w:lineRule="auto"/>
        <w:ind w:firstLine="640" w:firstLineChars="200"/>
        <w:outlineLvl w:val="1"/>
        <w:rPr>
          <w:rFonts w:ascii="黑体" w:hAnsi="黑体" w:eastAsia="黑体"/>
          <w:sz w:val="32"/>
        </w:rPr>
      </w:pPr>
      <w:r>
        <w:rPr>
          <w:rFonts w:hint="eastAsia" w:ascii="黑体" w:hAnsi="黑体" w:eastAsia="黑体"/>
          <w:sz w:val="32"/>
        </w:rPr>
        <w:t>四、政府采购情况</w:t>
      </w:r>
    </w:p>
    <w:p>
      <w:pPr>
        <w:spacing w:line="360" w:lineRule="auto"/>
        <w:ind w:firstLine="640" w:firstLineChars="200"/>
        <w:rPr>
          <w:rFonts w:ascii="仿宋" w:hAnsi="仿宋" w:eastAsia="仿宋"/>
          <w:sz w:val="32"/>
        </w:rPr>
      </w:pPr>
      <w:r>
        <w:rPr>
          <w:rFonts w:hint="eastAsia" w:ascii="仿宋" w:hAnsi="仿宋" w:eastAsia="仿宋"/>
          <w:sz w:val="32"/>
        </w:rPr>
        <w:t>2019年本</w:t>
      </w:r>
      <w:r>
        <w:rPr>
          <w:rFonts w:hint="eastAsia" w:ascii="仿宋" w:hAnsi="仿宋" w:eastAsia="仿宋"/>
          <w:sz w:val="32"/>
          <w:lang w:eastAsia="zh-CN"/>
        </w:rPr>
        <w:t>单位</w:t>
      </w:r>
      <w:r>
        <w:rPr>
          <w:rFonts w:hint="eastAsia" w:ascii="仿宋" w:hAnsi="仿宋" w:eastAsia="仿宋"/>
          <w:sz w:val="32"/>
        </w:rPr>
        <w:t>政府采购安排0.00万元。</w:t>
      </w:r>
      <w:r>
        <w:rPr>
          <w:rFonts w:ascii="仿宋" w:hAnsi="仿宋" w:eastAsia="仿宋"/>
          <w:sz w:val="32"/>
        </w:rPr>
        <w:t xml:space="preserve"> </w:t>
      </w:r>
    </w:p>
    <w:p>
      <w:pPr>
        <w:spacing w:line="360" w:lineRule="auto"/>
        <w:ind w:firstLine="640" w:firstLineChars="200"/>
        <w:outlineLvl w:val="1"/>
        <w:rPr>
          <w:rFonts w:ascii="黑体" w:hAnsi="黑体" w:eastAsia="黑体"/>
          <w:sz w:val="32"/>
        </w:rPr>
      </w:pPr>
      <w:r>
        <w:rPr>
          <w:rFonts w:hint="eastAsia" w:ascii="黑体" w:hAnsi="黑体" w:eastAsia="黑体"/>
          <w:sz w:val="32"/>
        </w:rPr>
        <w:t>五、国有资产占有使用情况</w:t>
      </w:r>
    </w:p>
    <w:p>
      <w:pPr>
        <w:spacing w:line="360" w:lineRule="auto"/>
        <w:ind w:firstLine="640" w:firstLineChars="200"/>
        <w:rPr>
          <w:rFonts w:ascii="仿宋" w:hAnsi="仿宋" w:eastAsia="仿宋"/>
          <w:sz w:val="32"/>
        </w:rPr>
      </w:pPr>
      <w:r>
        <w:rPr>
          <w:rFonts w:hint="eastAsia" w:ascii="仿宋" w:hAnsi="仿宋" w:eastAsia="仿宋"/>
          <w:sz w:val="32"/>
        </w:rPr>
        <w:t>截至2018年12月31日，本</w:t>
      </w:r>
      <w:r>
        <w:rPr>
          <w:rFonts w:hint="eastAsia" w:ascii="仿宋" w:hAnsi="仿宋" w:eastAsia="仿宋"/>
          <w:sz w:val="32"/>
          <w:lang w:eastAsia="zh-CN"/>
        </w:rPr>
        <w:t>单位</w:t>
      </w:r>
      <w:r>
        <w:rPr>
          <w:rFonts w:hint="eastAsia" w:ascii="仿宋" w:hAnsi="仿宋" w:eastAsia="仿宋"/>
          <w:sz w:val="32"/>
        </w:rPr>
        <w:t>固定资产</w:t>
      </w:r>
      <w:r>
        <w:rPr>
          <w:rFonts w:hint="eastAsia" w:ascii="仿宋" w:hAnsi="仿宋" w:eastAsia="仿宋"/>
          <w:sz w:val="32"/>
          <w:lang w:eastAsia="zh-CN"/>
        </w:rPr>
        <w:t>原值为</w:t>
      </w:r>
      <w:r>
        <w:rPr>
          <w:rFonts w:hint="eastAsia" w:ascii="仿宋" w:hAnsi="仿宋" w:eastAsia="仿宋"/>
          <w:sz w:val="32"/>
          <w:lang w:val="en-US" w:eastAsia="zh-CN"/>
        </w:rPr>
        <w:t>4</w:t>
      </w:r>
      <w:r>
        <w:rPr>
          <w:rFonts w:hint="eastAsia" w:ascii="仿宋" w:hAnsi="仿宋" w:eastAsia="仿宋"/>
          <w:sz w:val="32"/>
          <w:highlight w:val="none"/>
        </w:rPr>
        <w:t>,</w:t>
      </w:r>
      <w:r>
        <w:rPr>
          <w:rFonts w:hint="eastAsia" w:ascii="仿宋" w:hAnsi="仿宋" w:eastAsia="仿宋"/>
          <w:sz w:val="32"/>
          <w:highlight w:val="none"/>
          <w:lang w:val="en-US" w:eastAsia="zh-CN"/>
        </w:rPr>
        <w:t>844</w:t>
      </w:r>
      <w:r>
        <w:rPr>
          <w:rFonts w:hint="eastAsia" w:ascii="仿宋" w:hAnsi="仿宋" w:eastAsia="仿宋"/>
          <w:sz w:val="32"/>
          <w:highlight w:val="none"/>
        </w:rPr>
        <w:t>.</w:t>
      </w:r>
      <w:r>
        <w:rPr>
          <w:rFonts w:hint="eastAsia" w:ascii="仿宋" w:hAnsi="仿宋" w:eastAsia="仿宋"/>
          <w:sz w:val="32"/>
          <w:highlight w:val="none"/>
          <w:lang w:val="en-US" w:eastAsia="zh-CN"/>
        </w:rPr>
        <w:t>6</w:t>
      </w:r>
      <w:r>
        <w:rPr>
          <w:rFonts w:hint="eastAsia" w:ascii="仿宋" w:hAnsi="仿宋" w:eastAsia="仿宋"/>
          <w:sz w:val="32"/>
          <w:highlight w:val="none"/>
        </w:rPr>
        <w:t>1万</w:t>
      </w:r>
      <w:r>
        <w:rPr>
          <w:rFonts w:hint="eastAsia" w:ascii="仿宋" w:hAnsi="仿宋" w:eastAsia="仿宋"/>
          <w:sz w:val="32"/>
        </w:rPr>
        <w:t>元，</w:t>
      </w:r>
      <w:r>
        <w:rPr>
          <w:rFonts w:hint="eastAsia" w:ascii="仿宋" w:hAnsi="仿宋" w:eastAsia="仿宋"/>
          <w:sz w:val="32"/>
          <w:lang w:eastAsia="zh-CN"/>
        </w:rPr>
        <w:t>净值为</w:t>
      </w:r>
      <w:r>
        <w:rPr>
          <w:rFonts w:hint="eastAsia" w:ascii="仿宋" w:hAnsi="仿宋" w:eastAsia="仿宋"/>
          <w:sz w:val="32"/>
          <w:highlight w:val="none"/>
        </w:rPr>
        <w:t>2,418.71</w:t>
      </w:r>
      <w:r>
        <w:rPr>
          <w:rFonts w:hint="eastAsia" w:ascii="仿宋" w:hAnsi="仿宋" w:eastAsia="仿宋"/>
          <w:sz w:val="32"/>
          <w:highlight w:val="none"/>
          <w:lang w:eastAsia="zh-CN"/>
        </w:rPr>
        <w:t>万</w:t>
      </w:r>
      <w:r>
        <w:rPr>
          <w:rFonts w:hint="eastAsia" w:ascii="仿宋" w:hAnsi="仿宋" w:eastAsia="仿宋"/>
          <w:sz w:val="32"/>
          <w:lang w:eastAsia="zh-CN"/>
        </w:rPr>
        <w:t>元，</w:t>
      </w:r>
      <w:r>
        <w:rPr>
          <w:rFonts w:hint="eastAsia" w:ascii="仿宋" w:hAnsi="仿宋" w:eastAsia="仿宋"/>
          <w:sz w:val="32"/>
        </w:rPr>
        <w:t>分布构成情况为：房屋</w:t>
      </w:r>
      <w:r>
        <w:rPr>
          <w:rFonts w:ascii="仿宋" w:hAnsi="仿宋" w:eastAsia="仿宋"/>
          <w:sz w:val="32"/>
        </w:rPr>
        <w:t>7,217.45</w:t>
      </w:r>
      <w:r>
        <w:rPr>
          <w:rFonts w:hint="eastAsia" w:ascii="仿宋" w:hAnsi="仿宋" w:eastAsia="仿宋"/>
          <w:sz w:val="32"/>
        </w:rPr>
        <w:t>平方米，车辆0辆，单价在100万元以上的设备0台。本年度拟购置固定资产</w:t>
      </w:r>
      <w:r>
        <w:rPr>
          <w:rFonts w:hint="eastAsia" w:ascii="仿宋" w:hAnsi="仿宋" w:eastAsia="仿宋"/>
          <w:sz w:val="32"/>
          <w:highlight w:val="none"/>
        </w:rPr>
        <w:t>259.85</w:t>
      </w:r>
      <w:r>
        <w:rPr>
          <w:rFonts w:hint="eastAsia" w:ascii="仿宋" w:hAnsi="仿宋" w:eastAsia="仿宋"/>
          <w:sz w:val="32"/>
        </w:rPr>
        <w:t>万元，主要是灭菌炉、笼架、空调等设备。</w:t>
      </w:r>
    </w:p>
    <w:p>
      <w:pPr>
        <w:spacing w:line="360" w:lineRule="auto"/>
        <w:ind w:firstLine="640" w:firstLineChars="200"/>
        <w:outlineLvl w:val="1"/>
        <w:rPr>
          <w:rFonts w:ascii="黑体" w:hAnsi="黑体" w:eastAsia="黑体"/>
          <w:sz w:val="32"/>
          <w:highlight w:val="none"/>
        </w:rPr>
      </w:pPr>
      <w:r>
        <w:rPr>
          <w:rFonts w:hint="eastAsia" w:ascii="黑体" w:hAnsi="黑体" w:eastAsia="黑体"/>
          <w:sz w:val="32"/>
          <w:highlight w:val="none"/>
        </w:rPr>
        <w:t>六、重点项目预算绩效目标情况</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eastAsia" w:ascii="仿宋" w:hAnsi="仿宋" w:eastAsia="仿宋"/>
          <w:sz w:val="32"/>
          <w:highlight w:val="none"/>
          <w:lang w:eastAsia="zh-CN"/>
        </w:rPr>
        <w:sectPr>
          <w:pgSz w:w="11900" w:h="16840"/>
          <w:pgMar w:top="1600" w:right="1040" w:bottom="280" w:left="760" w:header="720" w:footer="720" w:gutter="0"/>
          <w:pgNumType w:fmt="numberInDash"/>
          <w:cols w:space="720" w:num="1"/>
        </w:sectPr>
      </w:pPr>
      <w:r>
        <w:rPr>
          <w:rFonts w:hint="eastAsia" w:ascii="仿宋" w:hAnsi="仿宋" w:eastAsia="仿宋"/>
          <w:sz w:val="32"/>
          <w:highlight w:val="none"/>
        </w:rPr>
        <w:t>2019年，</w:t>
      </w:r>
      <w:r>
        <w:rPr>
          <w:rFonts w:hint="eastAsia" w:ascii="仿宋" w:hAnsi="仿宋" w:eastAsia="仿宋"/>
          <w:sz w:val="32"/>
          <w:highlight w:val="none"/>
          <w:lang w:eastAsia="zh-CN"/>
        </w:rPr>
        <w:t>财政补助资金未安排</w:t>
      </w:r>
      <w:r>
        <w:rPr>
          <w:rFonts w:hint="eastAsia" w:ascii="仿宋" w:hAnsi="仿宋" w:eastAsia="仿宋"/>
          <w:sz w:val="32"/>
          <w:highlight w:val="none"/>
        </w:rPr>
        <w:t>重点项目</w:t>
      </w:r>
      <w:r>
        <w:rPr>
          <w:rFonts w:hint="eastAsia" w:ascii="仿宋" w:hAnsi="仿宋" w:eastAsia="仿宋"/>
          <w:sz w:val="32"/>
          <w:highlight w:val="none"/>
          <w:lang w:eastAsia="zh-CN"/>
        </w:rPr>
        <w:t>预算支出。</w:t>
      </w:r>
    </w:p>
    <w:p>
      <w:pPr>
        <w:spacing w:line="360" w:lineRule="auto"/>
        <w:jc w:val="center"/>
        <w:outlineLvl w:val="0"/>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第四部分 名词解释</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一、财政拨款收入：</w:t>
      </w:r>
      <w:r>
        <w:rPr>
          <w:rFonts w:hint="eastAsia" w:ascii="仿宋" w:hAnsi="仿宋" w:eastAsia="仿宋"/>
          <w:sz w:val="32"/>
          <w:szCs w:val="32"/>
        </w:rPr>
        <w:t>指预算单位从本级财政部门取得的财政预算资金收入。</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二、事业收入：</w:t>
      </w:r>
      <w:r>
        <w:rPr>
          <w:rFonts w:hint="eastAsia" w:ascii="仿宋" w:hAnsi="仿宋" w:eastAsia="仿宋"/>
          <w:sz w:val="32"/>
          <w:szCs w:val="32"/>
        </w:rPr>
        <w:t>指事业单位开展专业业务活动及辅助活动所取得的收入。</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三、经营收入：</w:t>
      </w:r>
      <w:r>
        <w:rPr>
          <w:rFonts w:hint="eastAsia" w:ascii="仿宋" w:hAnsi="仿宋" w:eastAsia="仿宋"/>
          <w:sz w:val="32"/>
          <w:szCs w:val="32"/>
        </w:rPr>
        <w:t>指事业单位在专业业务活动及其辅助活动之外开展非独立核算经营活动取得的收入。</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四、其他收入：</w:t>
      </w:r>
      <w:r>
        <w:rPr>
          <w:rFonts w:hint="eastAsia" w:ascii="仿宋" w:hAnsi="仿宋" w:eastAsia="仿宋"/>
          <w:sz w:val="32"/>
          <w:szCs w:val="32"/>
        </w:rPr>
        <w:t>指除上述“财政拨款收入”、“事业收入”、“经营收入”等以外的收入。主要是非本级财政拨款、存款利息收入、事业单位固定资产出租收入等。</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五、用事业基金弥补收支差额：</w:t>
      </w:r>
      <w:r>
        <w:rPr>
          <w:rFonts w:hint="eastAsia" w:ascii="仿宋" w:hAnsi="仿宋" w:eastAsia="仿宋"/>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六、基本支出：</w:t>
      </w:r>
      <w:r>
        <w:rPr>
          <w:rFonts w:hint="eastAsia" w:ascii="仿宋" w:hAnsi="仿宋" w:eastAsia="仿宋"/>
          <w:sz w:val="32"/>
          <w:szCs w:val="32"/>
        </w:rPr>
        <w:t>指为保障机构正常运转、完成日常工作任务而发生的人员支出和公用支出。</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七、项目支出：</w:t>
      </w:r>
      <w:r>
        <w:rPr>
          <w:rFonts w:hint="eastAsia" w:ascii="仿宋" w:hAnsi="仿宋" w:eastAsia="仿宋"/>
          <w:sz w:val="32"/>
          <w:szCs w:val="32"/>
        </w:rPr>
        <w:t>指在基本支出之外为完成特定行政任务和事业发展目标所发生的支出。</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八、经营支出：</w:t>
      </w:r>
      <w:r>
        <w:rPr>
          <w:rFonts w:hint="eastAsia" w:ascii="仿宋" w:hAnsi="仿宋" w:eastAsia="仿宋"/>
          <w:sz w:val="32"/>
          <w:szCs w:val="32"/>
        </w:rPr>
        <w:t>指事业单位在专业业务活动及其辅助活动之外开展非独立核算经营活动所发生的支出。</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九、行政经费（机关运行经费）：</w:t>
      </w:r>
      <w:r>
        <w:rPr>
          <w:rFonts w:hint="eastAsia" w:ascii="仿宋" w:hAnsi="仿宋" w:eastAsia="仿宋"/>
          <w:sz w:val="32"/>
          <w:szCs w:val="32"/>
        </w:rPr>
        <w:t>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p>
      <w:pPr>
        <w:spacing w:line="360" w:lineRule="auto"/>
        <w:ind w:firstLine="643" w:firstLineChars="200"/>
        <w:rPr>
          <w:sz w:val="28"/>
          <w:szCs w:val="28"/>
        </w:rPr>
      </w:pPr>
      <w:r>
        <w:rPr>
          <w:rFonts w:hint="eastAsia" w:ascii="仿宋" w:hAnsi="仿宋" w:eastAsia="仿宋"/>
          <w:b/>
          <w:bCs/>
          <w:sz w:val="32"/>
          <w:szCs w:val="32"/>
        </w:rPr>
        <w:t>十、“三公”经费：</w:t>
      </w:r>
      <w:r>
        <w:rPr>
          <w:rFonts w:hint="eastAsia" w:ascii="仿宋" w:hAnsi="仿宋" w:eastAsia="仿宋"/>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sectPr>
      <w:pgSz w:w="11900" w:h="16840"/>
      <w:pgMar w:top="1600" w:right="1040" w:bottom="280" w:left="76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34D253"/>
    <w:multiLevelType w:val="singleLevel"/>
    <w:tmpl w:val="9E34D253"/>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C8D"/>
    <w:rsid w:val="00066513"/>
    <w:rsid w:val="00132D33"/>
    <w:rsid w:val="00172A27"/>
    <w:rsid w:val="001E20B7"/>
    <w:rsid w:val="001F7341"/>
    <w:rsid w:val="002979EB"/>
    <w:rsid w:val="002C5063"/>
    <w:rsid w:val="002E6EDF"/>
    <w:rsid w:val="003F4273"/>
    <w:rsid w:val="004024F6"/>
    <w:rsid w:val="00453510"/>
    <w:rsid w:val="00510A83"/>
    <w:rsid w:val="005667B6"/>
    <w:rsid w:val="005779E6"/>
    <w:rsid w:val="005C0C09"/>
    <w:rsid w:val="005F437E"/>
    <w:rsid w:val="0072274B"/>
    <w:rsid w:val="007370A2"/>
    <w:rsid w:val="00751CBF"/>
    <w:rsid w:val="007D239B"/>
    <w:rsid w:val="007E7519"/>
    <w:rsid w:val="007F3D27"/>
    <w:rsid w:val="00835E27"/>
    <w:rsid w:val="00981BFC"/>
    <w:rsid w:val="009C6E39"/>
    <w:rsid w:val="009D0334"/>
    <w:rsid w:val="009D35A9"/>
    <w:rsid w:val="00A16F9F"/>
    <w:rsid w:val="00AF7052"/>
    <w:rsid w:val="00B93956"/>
    <w:rsid w:val="00BE7E45"/>
    <w:rsid w:val="00D301FB"/>
    <w:rsid w:val="00D74A4E"/>
    <w:rsid w:val="00EB2131"/>
    <w:rsid w:val="00F26852"/>
    <w:rsid w:val="00FF7966"/>
    <w:rsid w:val="01371941"/>
    <w:rsid w:val="03BB760B"/>
    <w:rsid w:val="04DA7AE9"/>
    <w:rsid w:val="05E47843"/>
    <w:rsid w:val="06A04C5D"/>
    <w:rsid w:val="073F235E"/>
    <w:rsid w:val="07B4132C"/>
    <w:rsid w:val="0EF441C5"/>
    <w:rsid w:val="180D5AFD"/>
    <w:rsid w:val="205A0680"/>
    <w:rsid w:val="2264366E"/>
    <w:rsid w:val="226B0A79"/>
    <w:rsid w:val="22C37394"/>
    <w:rsid w:val="23491BB2"/>
    <w:rsid w:val="235F1C22"/>
    <w:rsid w:val="24610CF1"/>
    <w:rsid w:val="251B3CD1"/>
    <w:rsid w:val="263452B8"/>
    <w:rsid w:val="284853EC"/>
    <w:rsid w:val="2E996EE6"/>
    <w:rsid w:val="3092542E"/>
    <w:rsid w:val="331B5A56"/>
    <w:rsid w:val="339B7090"/>
    <w:rsid w:val="3B8A14C5"/>
    <w:rsid w:val="3C142DDC"/>
    <w:rsid w:val="3C736293"/>
    <w:rsid w:val="48387695"/>
    <w:rsid w:val="4A72095D"/>
    <w:rsid w:val="4BA15AEA"/>
    <w:rsid w:val="4C644F02"/>
    <w:rsid w:val="4DF10DC2"/>
    <w:rsid w:val="509510FA"/>
    <w:rsid w:val="50F17BBC"/>
    <w:rsid w:val="523A27C0"/>
    <w:rsid w:val="5D965F71"/>
    <w:rsid w:val="5ECC7D95"/>
    <w:rsid w:val="5EDF04B6"/>
    <w:rsid w:val="6E2B3018"/>
    <w:rsid w:val="6E3A2BB7"/>
    <w:rsid w:val="70E95A0E"/>
    <w:rsid w:val="71FE0752"/>
    <w:rsid w:val="732743D0"/>
    <w:rsid w:val="76144E41"/>
    <w:rsid w:val="768E1F74"/>
    <w:rsid w:val="784C06D6"/>
    <w:rsid w:val="78EA7405"/>
    <w:rsid w:val="79072BFE"/>
    <w:rsid w:val="7AE75BB6"/>
    <w:rsid w:val="7CFB48CD"/>
    <w:rsid w:val="7DE81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7">
    <w:name w:val="font11"/>
    <w:basedOn w:val="6"/>
    <w:qFormat/>
    <w:uiPriority w:val="0"/>
    <w:rPr>
      <w:rFonts w:hint="eastAsia" w:ascii="宋体" w:hAnsi="宋体" w:eastAsia="宋体" w:cs="宋体"/>
      <w:color w:val="000000"/>
      <w:sz w:val="18"/>
      <w:szCs w:val="18"/>
      <w:u w:val="none"/>
    </w:rPr>
  </w:style>
  <w:style w:type="character" w:customStyle="1" w:styleId="8">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885</Words>
  <Characters>5046</Characters>
  <Lines>42</Lines>
  <Paragraphs>11</Paragraphs>
  <TotalTime>1</TotalTime>
  <ScaleCrop>false</ScaleCrop>
  <LinksUpToDate>false</LinksUpToDate>
  <CharactersWithSpaces>5920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2019-03-01T09:08:00Z</dcterms:created>
  <dc:creator>user</dc:creator>
  <cp:lastModifiedBy>user</cp:lastModifiedBy>
  <dcterms:modified xsi:type="dcterms:W3CDTF">2019-03-13T02:32:15Z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